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46CA" w:rsidTr="004E71D4">
        <w:trPr>
          <w:trHeight w:val="442"/>
        </w:trPr>
        <w:tc>
          <w:tcPr>
            <w:tcW w:w="10485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8D19AB" w:rsidP="00F606AF">
            <w:pPr>
              <w:ind w:right="-227"/>
              <w:jc w:val="center"/>
            </w:pPr>
            <w:r>
              <w:t>Ciencias</w:t>
            </w:r>
            <w:bookmarkStart w:id="0" w:name="_GoBack"/>
            <w:bookmarkEnd w:id="0"/>
            <w:r w:rsidR="004E71D4">
              <w:t xml:space="preserve"> 3</w:t>
            </w:r>
            <w:r w:rsidR="00397305">
              <w:t xml:space="preserve">º básico </w:t>
            </w:r>
            <w:r w:rsidR="000129AD">
              <w:t xml:space="preserve"> Nº3</w:t>
            </w:r>
          </w:p>
        </w:tc>
      </w:tr>
      <w:tr w:rsidR="00E946CA" w:rsidTr="004E71D4">
        <w:tc>
          <w:tcPr>
            <w:tcW w:w="10485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60230D" w:rsidRDefault="0060230D" w:rsidP="00FA690C">
            <w:pPr>
              <w:spacing w:after="100" w:afterAutospacing="1"/>
              <w:ind w:right="-227"/>
            </w:pPr>
            <w:r>
              <w:t xml:space="preserve">4.- Para </w:t>
            </w:r>
            <w:proofErr w:type="gramStart"/>
            <w:r>
              <w:t>que  aprendamos</w:t>
            </w:r>
            <w:proofErr w:type="gramEnd"/>
            <w:r>
              <w:t xml:space="preserve"> </w:t>
            </w:r>
            <w:proofErr w:type="spellStart"/>
            <w:r>
              <w:t>aun</w:t>
            </w:r>
            <w:proofErr w:type="spellEnd"/>
            <w:r>
              <w:t xml:space="preserve"> mas sobre la luz natural y artificial te invito a que veamos un video. Pincha el link </w:t>
            </w:r>
            <w:hyperlink r:id="rId6" w:history="1">
              <w:r w:rsidRPr="0060230D">
                <w:rPr>
                  <w:color w:val="0000FF"/>
                  <w:u w:val="single"/>
                </w:rPr>
                <w:t>https://www.youtube.com/watch?v=FL0taZbSqj0</w:t>
              </w:r>
            </w:hyperlink>
            <w:r>
              <w:t xml:space="preserve"> </w:t>
            </w:r>
          </w:p>
          <w:p w:rsidR="004E71D4" w:rsidRDefault="0060230D" w:rsidP="000129AD">
            <w:pPr>
              <w:spacing w:after="100" w:afterAutospacing="1"/>
              <w:ind w:right="-227"/>
            </w:pPr>
            <w:r>
              <w:t xml:space="preserve">5.- Juguemos!!! Recorre tu casa, mira por la ventana, por la puerta, por los dormitorios y junto a un adulto que te acompañe indícale cuales son luces naturales o artificiales. </w:t>
            </w:r>
          </w:p>
          <w:p w:rsidR="0060230D" w:rsidRDefault="0060230D" w:rsidP="0060230D">
            <w:pPr>
              <w:ind w:right="-227"/>
            </w:pPr>
            <w:r>
              <w:t xml:space="preserve">6.- Recuerda </w:t>
            </w:r>
            <w:r>
              <w:t>Las fuentes de luz pueden ser naturales o artificiales.</w:t>
            </w:r>
          </w:p>
          <w:p w:rsidR="0060230D" w:rsidRDefault="0060230D" w:rsidP="0060230D">
            <w:pPr>
              <w:ind w:right="-227"/>
            </w:pPr>
          </w:p>
          <w:p w:rsidR="0060230D" w:rsidRDefault="0060230D" w:rsidP="0060230D">
            <w:pPr>
              <w:ind w:right="-227"/>
            </w:pPr>
            <w:r>
              <w:t>LUZ NATURAL proviene de la naturaleza. El sol es la más importante fuente de luz y energía natural.</w:t>
            </w:r>
          </w:p>
          <w:p w:rsidR="0060230D" w:rsidRDefault="0060230D" w:rsidP="0060230D">
            <w:pPr>
              <w:ind w:right="-227"/>
            </w:pPr>
          </w:p>
          <w:p w:rsidR="0060230D" w:rsidRDefault="0060230D" w:rsidP="0060230D">
            <w:pPr>
              <w:ind w:right="-227"/>
            </w:pPr>
            <w:r>
              <w:t>Una exposición moderada a la luz solar beneficia a los humanos, pues i</w:t>
            </w:r>
            <w:r w:rsidR="008D19AB">
              <w:t>n</w:t>
            </w:r>
            <w:r>
              <w:t>crementa el nivel de energía y el metabolismo, impulsa el sistema inmune y ayuda a constituir la vitamina D.</w:t>
            </w:r>
            <w:r>
              <w:t xml:space="preserve"> </w:t>
            </w:r>
            <w:r>
              <w:t xml:space="preserve">Esta energía natural tiene el inconveniente de que no la podemos controlar, es impredecible, depende de varios factores, como es el tiempo, la estación del año, el </w:t>
            </w:r>
            <w:proofErr w:type="gramStart"/>
            <w:r>
              <w:t>clima,…</w:t>
            </w:r>
            <w:proofErr w:type="gramEnd"/>
            <w:r>
              <w:t xml:space="preserve"> </w:t>
            </w:r>
            <w:r>
              <w:t>LUZ ARTIFICIAL es aquella fuente producida por el ser   humano. La principal son la</w:t>
            </w:r>
            <w:r>
              <w:t>s ampolletas</w:t>
            </w:r>
            <w:r>
              <w:t xml:space="preserve"> o lámparas.</w:t>
            </w:r>
            <w:r>
              <w:t xml:space="preserve"> </w:t>
            </w:r>
            <w:r>
              <w:t>Una ventaja de la luz artificial es que la podemos controlar a nuestra voluntad.</w:t>
            </w:r>
            <w:r>
              <w:t xml:space="preserve"> </w:t>
            </w:r>
            <w:r>
              <w:t>Con una adecuada iluminación (sea natural o artificial), las personas pueden rendir más, mantener su estado de alerta, mejorar su sueño, influye en su estado de ánimo y por tanto su bienestar</w:t>
            </w:r>
            <w:r>
              <w:t xml:space="preserve">. </w:t>
            </w:r>
            <w:r>
              <w:t>Siempre que podamos deberíamos utilizar la luz natural, para obtener y disfrutar de sus beneficios.</w:t>
            </w:r>
            <w:r>
              <w:t xml:space="preserve"> </w:t>
            </w:r>
            <w:r>
              <w:t>En ausencia de luz natural utilizamos la luz artificial.</w:t>
            </w:r>
            <w:r>
              <w:t xml:space="preserve"> </w:t>
            </w:r>
            <w:r>
              <w:t>Con la luz artificial creamos un ambiente o atmósfera acentuando la decoración.</w:t>
            </w:r>
          </w:p>
          <w:p w:rsidR="0060230D" w:rsidRDefault="0060230D" w:rsidP="0060230D">
            <w:pPr>
              <w:ind w:right="-227"/>
            </w:pPr>
          </w:p>
          <w:p w:rsidR="000C3CCD" w:rsidRDefault="0060230D" w:rsidP="00FA690C">
            <w:pPr>
              <w:spacing w:after="100" w:afterAutospacing="1"/>
              <w:ind w:right="-227"/>
            </w:pPr>
            <w:proofErr w:type="gramStart"/>
            <w:r>
              <w:t>7</w:t>
            </w:r>
            <w:r w:rsidR="003260F1">
              <w:t xml:space="preserve"> </w:t>
            </w:r>
            <w:r w:rsidR="00D7419A">
              <w:t>.</w:t>
            </w:r>
            <w:proofErr w:type="gramEnd"/>
            <w:r w:rsidR="000C3CCD">
              <w:t xml:space="preserve">- </w:t>
            </w:r>
            <w:r w:rsidR="00776DB3"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1FC" w:rsidRDefault="00F501FC" w:rsidP="002B650B">
      <w:pPr>
        <w:spacing w:after="0" w:line="240" w:lineRule="auto"/>
      </w:pPr>
      <w:r>
        <w:separator/>
      </w:r>
    </w:p>
  </w:endnote>
  <w:endnote w:type="continuationSeparator" w:id="0">
    <w:p w:rsidR="00F501FC" w:rsidRDefault="00F501FC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1FC" w:rsidRDefault="00F501FC" w:rsidP="002B650B">
      <w:pPr>
        <w:spacing w:after="0" w:line="240" w:lineRule="auto"/>
      </w:pPr>
      <w:r>
        <w:separator/>
      </w:r>
    </w:p>
  </w:footnote>
  <w:footnote w:type="continuationSeparator" w:id="0">
    <w:p w:rsidR="00F501FC" w:rsidRDefault="00F501FC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129AD"/>
    <w:rsid w:val="000B43B3"/>
    <w:rsid w:val="000C3CCD"/>
    <w:rsid w:val="00112794"/>
    <w:rsid w:val="00192774"/>
    <w:rsid w:val="00216A0C"/>
    <w:rsid w:val="002B650B"/>
    <w:rsid w:val="002B7952"/>
    <w:rsid w:val="002C2A04"/>
    <w:rsid w:val="003260F1"/>
    <w:rsid w:val="00345BC3"/>
    <w:rsid w:val="0036266C"/>
    <w:rsid w:val="00386817"/>
    <w:rsid w:val="00397305"/>
    <w:rsid w:val="004D2B00"/>
    <w:rsid w:val="004E71D4"/>
    <w:rsid w:val="00553BA5"/>
    <w:rsid w:val="005A44D9"/>
    <w:rsid w:val="005D08A5"/>
    <w:rsid w:val="0060230D"/>
    <w:rsid w:val="006239EC"/>
    <w:rsid w:val="00643D4A"/>
    <w:rsid w:val="00682F4C"/>
    <w:rsid w:val="00740545"/>
    <w:rsid w:val="00776DB3"/>
    <w:rsid w:val="007B6793"/>
    <w:rsid w:val="0086542A"/>
    <w:rsid w:val="008D19AB"/>
    <w:rsid w:val="00926FAC"/>
    <w:rsid w:val="00941D02"/>
    <w:rsid w:val="00964965"/>
    <w:rsid w:val="009B07D8"/>
    <w:rsid w:val="009E2F03"/>
    <w:rsid w:val="00A71332"/>
    <w:rsid w:val="00A71A35"/>
    <w:rsid w:val="00A91935"/>
    <w:rsid w:val="00AB4CA4"/>
    <w:rsid w:val="00AD2144"/>
    <w:rsid w:val="00B15D6A"/>
    <w:rsid w:val="00BC0C9F"/>
    <w:rsid w:val="00BC5511"/>
    <w:rsid w:val="00BD0BC3"/>
    <w:rsid w:val="00C06FE6"/>
    <w:rsid w:val="00C97CA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501FC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ACFE3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L0taZbSqj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2</cp:revision>
  <dcterms:created xsi:type="dcterms:W3CDTF">2020-04-06T04:51:00Z</dcterms:created>
  <dcterms:modified xsi:type="dcterms:W3CDTF">2020-04-06T04:51:00Z</dcterms:modified>
</cp:coreProperties>
</file>